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AE17" w14:textId="77777777" w:rsidR="00B7210A" w:rsidRDefault="00A42638" w:rsidP="00A42638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RAZDJEL 77   MINISTARSTVO GOSPODARSTVA I ODRŽIVOG RAZVOJA</w:t>
      </w:r>
    </w:p>
    <w:p w14:paraId="742468C7" w14:textId="50107094" w:rsidR="00A42638" w:rsidRDefault="00A42638" w:rsidP="00A42638">
      <w:pPr>
        <w:rPr>
          <w:b/>
          <w:sz w:val="24"/>
          <w:szCs w:val="24"/>
        </w:rPr>
      </w:pPr>
      <w:r>
        <w:rPr>
          <w:b/>
          <w:sz w:val="24"/>
          <w:szCs w:val="24"/>
        </w:rPr>
        <w:t>GLAVA 70       HRVATSKA AKREDITACIJSKA AGENCIJA</w:t>
      </w:r>
    </w:p>
    <w:p w14:paraId="7B802B2D" w14:textId="77777777" w:rsidR="00CF0ADC" w:rsidRDefault="00CF0ADC" w:rsidP="00FE4B89"/>
    <w:p w14:paraId="4BD5CBC4" w14:textId="77777777" w:rsidR="00F5175C" w:rsidRDefault="00CF0ADC" w:rsidP="00CF0ADC">
      <w:pPr>
        <w:jc w:val="center"/>
        <w:rPr>
          <w:b/>
          <w:sz w:val="24"/>
          <w:szCs w:val="24"/>
        </w:rPr>
      </w:pPr>
      <w:r w:rsidRPr="00A42638">
        <w:rPr>
          <w:b/>
          <w:sz w:val="24"/>
          <w:szCs w:val="24"/>
        </w:rPr>
        <w:t xml:space="preserve">OBRAZLOŽENJE </w:t>
      </w:r>
      <w:r w:rsidR="00F5175C">
        <w:rPr>
          <w:b/>
          <w:sz w:val="24"/>
          <w:szCs w:val="24"/>
        </w:rPr>
        <w:t xml:space="preserve">OPĆEG DIJELA </w:t>
      </w:r>
    </w:p>
    <w:p w14:paraId="7F0563EA" w14:textId="53E679A7" w:rsidR="00CF0ADC" w:rsidRPr="00A42638" w:rsidRDefault="00F5175C" w:rsidP="00CF0A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GODIŠNJEG IZVJEŠTAJA O IZ</w:t>
      </w:r>
      <w:r w:rsidR="00CF0ADC" w:rsidRPr="00A42638">
        <w:rPr>
          <w:b/>
          <w:sz w:val="24"/>
          <w:szCs w:val="24"/>
        </w:rPr>
        <w:t>VRŠ</w:t>
      </w:r>
      <w:r>
        <w:rPr>
          <w:b/>
          <w:sz w:val="24"/>
          <w:szCs w:val="24"/>
        </w:rPr>
        <w:t>ENJU</w:t>
      </w:r>
      <w:r w:rsidR="00CF0ADC" w:rsidRPr="00A42638">
        <w:rPr>
          <w:b/>
          <w:sz w:val="24"/>
          <w:szCs w:val="24"/>
        </w:rPr>
        <w:t xml:space="preserve"> FINANCIJSKOG PLANA</w:t>
      </w:r>
    </w:p>
    <w:p w14:paraId="0CD710E8" w14:textId="77777777" w:rsidR="00BB57B3" w:rsidRDefault="00CF0ADC" w:rsidP="00A42638">
      <w:pPr>
        <w:jc w:val="center"/>
        <w:rPr>
          <w:b/>
          <w:sz w:val="24"/>
          <w:szCs w:val="24"/>
        </w:rPr>
      </w:pPr>
      <w:r w:rsidRPr="00A42638">
        <w:rPr>
          <w:b/>
          <w:sz w:val="24"/>
          <w:szCs w:val="24"/>
        </w:rPr>
        <w:t xml:space="preserve"> HRVATSKE AKREDITACIJSKE </w:t>
      </w:r>
      <w:r w:rsidR="00BB57B3">
        <w:rPr>
          <w:b/>
          <w:sz w:val="24"/>
          <w:szCs w:val="24"/>
        </w:rPr>
        <w:t xml:space="preserve">AGENCIJE </w:t>
      </w:r>
    </w:p>
    <w:p w14:paraId="31B0425D" w14:textId="458D3CC8" w:rsidR="00CF0ADC" w:rsidRDefault="00BB57B3" w:rsidP="00A426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="00A42638" w:rsidRPr="00A42638">
        <w:rPr>
          <w:b/>
          <w:sz w:val="24"/>
          <w:szCs w:val="24"/>
        </w:rPr>
        <w:t>202</w:t>
      </w:r>
      <w:r w:rsidR="00C441B8">
        <w:rPr>
          <w:b/>
          <w:sz w:val="24"/>
          <w:szCs w:val="24"/>
        </w:rPr>
        <w:t>4</w:t>
      </w:r>
      <w:r w:rsidR="00A42638" w:rsidRPr="00A42638">
        <w:rPr>
          <w:b/>
          <w:sz w:val="24"/>
          <w:szCs w:val="24"/>
        </w:rPr>
        <w:t>. GODIN</w:t>
      </w:r>
      <w:r w:rsidR="00F5175C">
        <w:rPr>
          <w:b/>
          <w:sz w:val="24"/>
          <w:szCs w:val="24"/>
        </w:rPr>
        <w:t>U</w:t>
      </w:r>
    </w:p>
    <w:p w14:paraId="4E275611" w14:textId="77777777" w:rsidR="00A42638" w:rsidRDefault="00A42638" w:rsidP="00CF0ADC">
      <w:pPr>
        <w:jc w:val="center"/>
        <w:rPr>
          <w:sz w:val="24"/>
          <w:szCs w:val="24"/>
        </w:rPr>
      </w:pPr>
    </w:p>
    <w:p w14:paraId="2A224BEF" w14:textId="3BCA8E48" w:rsidR="00A42638" w:rsidRPr="00F5175C" w:rsidRDefault="00A42638" w:rsidP="00F5175C">
      <w:pPr>
        <w:pStyle w:val="ListParagraph"/>
        <w:numPr>
          <w:ilvl w:val="0"/>
          <w:numId w:val="3"/>
        </w:numPr>
        <w:rPr>
          <w:b/>
        </w:rPr>
      </w:pPr>
      <w:r w:rsidRPr="00F5175C">
        <w:rPr>
          <w:b/>
        </w:rPr>
        <w:t xml:space="preserve">PRIHODI I RASHODI, PRIMICI I IZDACI </w:t>
      </w:r>
    </w:p>
    <w:p w14:paraId="1FFE0745" w14:textId="38E48F1C" w:rsidR="00EF14BB" w:rsidRPr="00A9561C" w:rsidRDefault="00A42638" w:rsidP="00A42638">
      <w:pPr>
        <w:rPr>
          <w:sz w:val="24"/>
          <w:szCs w:val="24"/>
        </w:rPr>
      </w:pPr>
      <w:r w:rsidRPr="00A9561C">
        <w:rPr>
          <w:sz w:val="24"/>
          <w:szCs w:val="24"/>
        </w:rPr>
        <w:t xml:space="preserve">Ostvareni prihodi </w:t>
      </w:r>
      <w:r w:rsidR="00E1478B" w:rsidRPr="00A9561C">
        <w:rPr>
          <w:sz w:val="24"/>
          <w:szCs w:val="24"/>
        </w:rPr>
        <w:t xml:space="preserve">Hrvatske akreditacijske agencije u 2024. godini iznose </w:t>
      </w:r>
      <w:r w:rsidR="00EF14BB" w:rsidRPr="00A9561C">
        <w:rPr>
          <w:sz w:val="24"/>
          <w:szCs w:val="24"/>
        </w:rPr>
        <w:t>1.856.266,34 eura</w:t>
      </w:r>
      <w:r w:rsidR="002C2F7F" w:rsidRPr="00A9561C">
        <w:rPr>
          <w:sz w:val="24"/>
          <w:szCs w:val="24"/>
        </w:rPr>
        <w:t xml:space="preserve"> što je povećanje od 61,30% na ostvarene prihode prethodne godine.</w:t>
      </w:r>
      <w:r w:rsidR="00EF14BB" w:rsidRPr="00A9561C">
        <w:rPr>
          <w:sz w:val="24"/>
          <w:szCs w:val="24"/>
        </w:rPr>
        <w:t xml:space="preserve"> </w:t>
      </w:r>
      <w:r w:rsidR="002C2F7F" w:rsidRPr="00A9561C">
        <w:rPr>
          <w:sz w:val="24"/>
          <w:szCs w:val="24"/>
        </w:rPr>
        <w:t>I</w:t>
      </w:r>
      <w:r w:rsidR="00EF14BB" w:rsidRPr="00A9561C">
        <w:rPr>
          <w:sz w:val="24"/>
          <w:szCs w:val="24"/>
        </w:rPr>
        <w:t xml:space="preserve">zvršeni rashodi </w:t>
      </w:r>
      <w:r w:rsidR="002C2F7F" w:rsidRPr="00A9561C">
        <w:rPr>
          <w:sz w:val="24"/>
          <w:szCs w:val="24"/>
        </w:rPr>
        <w:t xml:space="preserve">iznose </w:t>
      </w:r>
      <w:r w:rsidR="00EF14BB" w:rsidRPr="00A9561C">
        <w:rPr>
          <w:sz w:val="24"/>
          <w:szCs w:val="24"/>
        </w:rPr>
        <w:t>2.120.010,32 eura od čega su rashodi poslovanja 1.588.580,22 eura</w:t>
      </w:r>
      <w:r w:rsidR="002C2F7F" w:rsidRPr="00A9561C">
        <w:rPr>
          <w:sz w:val="24"/>
          <w:szCs w:val="24"/>
        </w:rPr>
        <w:t xml:space="preserve">, a </w:t>
      </w:r>
      <w:r w:rsidR="00EF14BB" w:rsidRPr="00A9561C">
        <w:rPr>
          <w:sz w:val="24"/>
          <w:szCs w:val="24"/>
        </w:rPr>
        <w:t>rashodi za nabavu nefinancijske imovine 531.430,10 eura</w:t>
      </w:r>
      <w:r w:rsidR="002C2F7F" w:rsidRPr="00A9561C">
        <w:rPr>
          <w:sz w:val="24"/>
          <w:szCs w:val="24"/>
        </w:rPr>
        <w:t xml:space="preserve"> i to je povećanje ukupnih rashoda u odnosu na prethodnu godinu za 81,43%</w:t>
      </w:r>
      <w:r w:rsidR="00EF14BB" w:rsidRPr="00A9561C">
        <w:rPr>
          <w:sz w:val="24"/>
          <w:szCs w:val="24"/>
        </w:rPr>
        <w:t xml:space="preserve">. </w:t>
      </w:r>
      <w:r w:rsidR="002C2F7F" w:rsidRPr="00A9561C">
        <w:rPr>
          <w:sz w:val="24"/>
          <w:szCs w:val="24"/>
        </w:rPr>
        <w:t xml:space="preserve">Povećanje ukupnih prihoda i rashoda je posljedica povećanja rashoda za zaposlene za 36,04% temeljem primjene nove </w:t>
      </w:r>
      <w:r w:rsidR="00503CE5" w:rsidRPr="00A9561C">
        <w:rPr>
          <w:sz w:val="24"/>
          <w:szCs w:val="24"/>
        </w:rPr>
        <w:t>klasifikacije radnih mjesta i novih koeficijenata za obrarčun plaće, materijalnih rashoda za 35,19% te za nabavu usluge nadogradnje postojećeg IT sustava HAA (461.250,00 eura) u okviru projekta financiran iz pomoću EU.</w:t>
      </w:r>
      <w:r w:rsidR="002C2F7F" w:rsidRPr="00A9561C">
        <w:rPr>
          <w:sz w:val="24"/>
          <w:szCs w:val="24"/>
        </w:rPr>
        <w:t xml:space="preserve"> </w:t>
      </w:r>
      <w:r w:rsidR="00EF14BB" w:rsidRPr="00A9561C">
        <w:rPr>
          <w:sz w:val="24"/>
          <w:szCs w:val="24"/>
        </w:rPr>
        <w:t xml:space="preserve">U promatranom razdoblju ostvaren je manjak od 263.743,98 eura koji je </w:t>
      </w:r>
      <w:r w:rsidR="002C2F7F" w:rsidRPr="00A9561C">
        <w:rPr>
          <w:sz w:val="24"/>
          <w:szCs w:val="24"/>
        </w:rPr>
        <w:t>pokriven prenesenim sredstvima iz prethodne godine.</w:t>
      </w:r>
    </w:p>
    <w:p w14:paraId="5B8B9F77" w14:textId="485CEF6A" w:rsidR="00CF0ADC" w:rsidRPr="00A9561C" w:rsidRDefault="00CF0ADC" w:rsidP="00CF0ADC">
      <w:pPr>
        <w:rPr>
          <w:sz w:val="24"/>
          <w:szCs w:val="24"/>
        </w:rPr>
      </w:pPr>
      <w:r w:rsidRPr="00A9561C">
        <w:rPr>
          <w:sz w:val="24"/>
          <w:szCs w:val="24"/>
        </w:rPr>
        <w:t>Ukupne ostvarene rashode financijskog plana u 202</w:t>
      </w:r>
      <w:r w:rsidR="00C441B8" w:rsidRPr="00A9561C">
        <w:rPr>
          <w:sz w:val="24"/>
          <w:szCs w:val="24"/>
        </w:rPr>
        <w:t>4</w:t>
      </w:r>
      <w:r w:rsidRPr="00A9561C">
        <w:rPr>
          <w:sz w:val="24"/>
          <w:szCs w:val="24"/>
        </w:rPr>
        <w:t>. godin</w:t>
      </w:r>
      <w:r w:rsidR="00503CE5" w:rsidRPr="00A9561C">
        <w:rPr>
          <w:sz w:val="24"/>
          <w:szCs w:val="24"/>
        </w:rPr>
        <w:t>i</w:t>
      </w:r>
      <w:r w:rsidR="00C441B8" w:rsidRPr="00A9561C">
        <w:rPr>
          <w:sz w:val="24"/>
          <w:szCs w:val="24"/>
        </w:rPr>
        <w:t xml:space="preserve"> </w:t>
      </w:r>
      <w:r w:rsidRPr="00A9561C">
        <w:rPr>
          <w:sz w:val="24"/>
          <w:szCs w:val="24"/>
        </w:rPr>
        <w:t>čine</w:t>
      </w:r>
      <w:r w:rsidR="00C441B8" w:rsidRPr="00A9561C">
        <w:rPr>
          <w:sz w:val="24"/>
          <w:szCs w:val="24"/>
        </w:rPr>
        <w:t xml:space="preserve"> izvori financiranja</w:t>
      </w:r>
      <w:r w:rsidRPr="00A9561C">
        <w:rPr>
          <w:sz w:val="24"/>
          <w:szCs w:val="24"/>
        </w:rPr>
        <w:t xml:space="preserve">: </w:t>
      </w:r>
      <w:r w:rsidR="001967BA" w:rsidRPr="00A9561C">
        <w:rPr>
          <w:sz w:val="24"/>
          <w:szCs w:val="24"/>
        </w:rPr>
        <w:t xml:space="preserve">11 </w:t>
      </w:r>
      <w:r w:rsidRPr="00A9561C">
        <w:rPr>
          <w:sz w:val="24"/>
          <w:szCs w:val="24"/>
        </w:rPr>
        <w:t xml:space="preserve">opći prihodi i primici </w:t>
      </w:r>
      <w:r w:rsidR="00503CE5" w:rsidRPr="00A9561C">
        <w:rPr>
          <w:sz w:val="24"/>
          <w:szCs w:val="24"/>
        </w:rPr>
        <w:t xml:space="preserve">1.506.303,96 </w:t>
      </w:r>
      <w:r w:rsidRPr="00A9561C">
        <w:rPr>
          <w:sz w:val="24"/>
          <w:szCs w:val="24"/>
        </w:rPr>
        <w:t xml:space="preserve">eura, </w:t>
      </w:r>
      <w:r w:rsidR="001967BA" w:rsidRPr="00A9561C">
        <w:rPr>
          <w:sz w:val="24"/>
          <w:szCs w:val="24"/>
        </w:rPr>
        <w:t xml:space="preserve">12 </w:t>
      </w:r>
      <w:r w:rsidRPr="00A9561C">
        <w:rPr>
          <w:sz w:val="24"/>
          <w:szCs w:val="24"/>
        </w:rPr>
        <w:t xml:space="preserve">sredstva učešća za pomoći </w:t>
      </w:r>
      <w:r w:rsidR="00503CE5" w:rsidRPr="00A9561C">
        <w:rPr>
          <w:sz w:val="24"/>
          <w:szCs w:val="24"/>
        </w:rPr>
        <w:t>153.265,59</w:t>
      </w:r>
      <w:r w:rsidRPr="00A9561C">
        <w:rPr>
          <w:sz w:val="24"/>
          <w:szCs w:val="24"/>
        </w:rPr>
        <w:t xml:space="preserve"> eura</w:t>
      </w:r>
      <w:r w:rsidR="00503CE5" w:rsidRPr="00A9561C">
        <w:rPr>
          <w:sz w:val="24"/>
          <w:szCs w:val="24"/>
        </w:rPr>
        <w:t>,</w:t>
      </w:r>
      <w:r w:rsidRPr="00A9561C">
        <w:rPr>
          <w:sz w:val="24"/>
          <w:szCs w:val="24"/>
        </w:rPr>
        <w:t xml:space="preserve"> </w:t>
      </w:r>
      <w:r w:rsidR="00503CE5" w:rsidRPr="00A9561C">
        <w:rPr>
          <w:sz w:val="24"/>
          <w:szCs w:val="24"/>
        </w:rPr>
        <w:t>51</w:t>
      </w:r>
      <w:r w:rsidRPr="00A9561C">
        <w:rPr>
          <w:sz w:val="24"/>
          <w:szCs w:val="24"/>
        </w:rPr>
        <w:t xml:space="preserve"> pomoći EU </w:t>
      </w:r>
      <w:r w:rsidR="00A9561C" w:rsidRPr="00A9561C">
        <w:rPr>
          <w:sz w:val="24"/>
          <w:szCs w:val="24"/>
        </w:rPr>
        <w:t xml:space="preserve">263.743,98 </w:t>
      </w:r>
      <w:r w:rsidRPr="00A9561C">
        <w:rPr>
          <w:sz w:val="24"/>
          <w:szCs w:val="24"/>
        </w:rPr>
        <w:t>eura</w:t>
      </w:r>
      <w:r w:rsidR="00A9561C" w:rsidRPr="00A9561C">
        <w:rPr>
          <w:sz w:val="24"/>
          <w:szCs w:val="24"/>
        </w:rPr>
        <w:t xml:space="preserve"> te 55 Refundacije iz pomoći EU 196.694,79 eura.</w:t>
      </w:r>
    </w:p>
    <w:p w14:paraId="00CB0AA7" w14:textId="36A521B6" w:rsidR="00F5175C" w:rsidRDefault="00F5175C" w:rsidP="00F5175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Sažetak Računa prihoda  i rashoda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114"/>
        <w:gridCol w:w="1276"/>
        <w:gridCol w:w="1256"/>
        <w:gridCol w:w="1153"/>
        <w:gridCol w:w="1182"/>
        <w:gridCol w:w="859"/>
        <w:gridCol w:w="738"/>
      </w:tblGrid>
      <w:tr w:rsidR="00E1478B" w:rsidRPr="00FC271C" w14:paraId="3352894B" w14:textId="77777777" w:rsidTr="00E778B6">
        <w:trPr>
          <w:trHeight w:val="8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9E3E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BROJČANA OZNAKA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3BB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OSTVARENJE / IZVRŠENJE 2023.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334B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REBALANS 2024.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D3A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TEKUĆI PLAN 2024.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C0C4" w14:textId="77777777" w:rsidR="00E1478B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OSTVARENJE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</w:p>
          <w:p w14:paraId="74CBD8BF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/ IZVRŠENJE 2024.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0468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EEB5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E1478B" w:rsidRPr="00FC271C" w14:paraId="30BFAF9C" w14:textId="77777777" w:rsidTr="009637EE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DFB0" w14:textId="77777777" w:rsidR="00E1478B" w:rsidRPr="00FC271C" w:rsidRDefault="00E1478B" w:rsidP="009637EE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0374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72E7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D03A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FF69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3DC7" w14:textId="79D28896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6=5/2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E505" w14:textId="75723D1C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7=5/4</w:t>
            </w:r>
          </w:p>
        </w:tc>
      </w:tr>
      <w:tr w:rsidR="00E1478B" w:rsidRPr="00FC271C" w14:paraId="5B0EEB10" w14:textId="77777777" w:rsidTr="00E778B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0AF64" w14:textId="77777777" w:rsidR="00E1478B" w:rsidRPr="00FC271C" w:rsidRDefault="00E1478B" w:rsidP="00E778B6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6041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1.150.804,37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57AE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1.948.938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A5A6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1.947.743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9950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1.856.266,34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5AE4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161,30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CBF2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95,30</w:t>
            </w:r>
          </w:p>
        </w:tc>
      </w:tr>
      <w:tr w:rsidR="00E1478B" w:rsidRPr="00FC271C" w14:paraId="0C74A8EE" w14:textId="77777777" w:rsidTr="00E778B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CB13B" w14:textId="77777777" w:rsidR="00E1478B" w:rsidRPr="00FC271C" w:rsidRDefault="00E1478B" w:rsidP="00E778B6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7 PRIHODI OD PRODAJE NEFIN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1E45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FDE2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7F25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A98D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4A7C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3CBB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1478B" w:rsidRPr="00FC271C" w14:paraId="10CC029D" w14:textId="77777777" w:rsidTr="00E778B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2816183" w14:textId="77777777" w:rsidR="00E1478B" w:rsidRPr="00FC271C" w:rsidRDefault="00E1478B" w:rsidP="00E778B6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86E17D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1.150.804,37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855ED7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1.948.938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941D32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1.947.743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30DEC1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1.856.266,34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E78EA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161,30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D18AF0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95,30</w:t>
            </w:r>
          </w:p>
        </w:tc>
      </w:tr>
      <w:tr w:rsidR="00E1478B" w:rsidRPr="00FC271C" w14:paraId="7DAC7CAE" w14:textId="77777777" w:rsidTr="00E778B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D0A50" w14:textId="77777777" w:rsidR="00E1478B" w:rsidRPr="00FC271C" w:rsidRDefault="00E1478B" w:rsidP="00E778B6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3 RASHODI 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91A1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1.167.726,19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9CFD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1.636.419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6509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1.635.617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DCEA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1.588.580,22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442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136,04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9D5B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97,12</w:t>
            </w:r>
          </w:p>
        </w:tc>
      </w:tr>
      <w:tr w:rsidR="00E1478B" w:rsidRPr="00FC271C" w14:paraId="35ED6118" w14:textId="77777777" w:rsidTr="00E778B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80A22" w14:textId="77777777" w:rsidR="00E1478B" w:rsidRPr="00FC271C" w:rsidRDefault="00E1478B" w:rsidP="00E778B6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4 RASHODI ZA NABAVU NEFIN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9BFC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754,00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006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576.262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18FA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575.869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DA6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531.430,10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013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70.481,45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50A3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92,28</w:t>
            </w:r>
          </w:p>
        </w:tc>
      </w:tr>
      <w:tr w:rsidR="00E1478B" w:rsidRPr="00FC271C" w14:paraId="1F3F8074" w14:textId="77777777" w:rsidTr="00E778B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EB2B46D" w14:textId="77777777" w:rsidR="00E1478B" w:rsidRPr="00FC271C" w:rsidRDefault="00E1478B" w:rsidP="00E778B6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C0AA37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1.168.480,19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4EDA1E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2.212.681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29E71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2.211.486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554479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2.120.010,32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308D42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181,43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A7D266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95,86</w:t>
            </w:r>
          </w:p>
        </w:tc>
      </w:tr>
      <w:tr w:rsidR="00E1478B" w:rsidRPr="00FC271C" w14:paraId="74692B91" w14:textId="77777777" w:rsidTr="00E778B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22F9D1C" w14:textId="77777777" w:rsidR="00E1478B" w:rsidRPr="00FC271C" w:rsidRDefault="00E1478B" w:rsidP="00E778B6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RAZLIKA - VIŠAK / MANJAK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AB1323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-17.675,82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0A08FE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-263.743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07EBF6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-263.743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F42797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-263.743,98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FA2FF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1.492,12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3CF3FE" w14:textId="77777777" w:rsidR="00E1478B" w:rsidRPr="00FC271C" w:rsidRDefault="00E1478B" w:rsidP="00E778B6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</w:tbl>
    <w:p w14:paraId="4B32BDE3" w14:textId="6A1AB2BD" w:rsidR="00F5175C" w:rsidRDefault="00F5175C" w:rsidP="00F5175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Sažetak Računa financiranja</w:t>
      </w:r>
    </w:p>
    <w:tbl>
      <w:tblPr>
        <w:tblW w:w="9565" w:type="dxa"/>
        <w:tblLayout w:type="fixed"/>
        <w:tblLook w:val="04A0" w:firstRow="1" w:lastRow="0" w:firstColumn="1" w:lastColumn="0" w:noHBand="0" w:noVBand="1"/>
      </w:tblPr>
      <w:tblGrid>
        <w:gridCol w:w="3062"/>
        <w:gridCol w:w="1257"/>
        <w:gridCol w:w="1258"/>
        <w:gridCol w:w="1081"/>
        <w:gridCol w:w="1275"/>
        <w:gridCol w:w="861"/>
        <w:gridCol w:w="771"/>
      </w:tblGrid>
      <w:tr w:rsidR="00F73BA2" w:rsidRPr="00FC271C" w14:paraId="23832191" w14:textId="77777777" w:rsidTr="00F73BA2">
        <w:trPr>
          <w:trHeight w:val="51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71E3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BROJČANA OZNAKA I NAZIV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01DB" w14:textId="77777777" w:rsidR="009637EE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OSTVARENJE</w:t>
            </w:r>
          </w:p>
          <w:p w14:paraId="0DEF1A16" w14:textId="6C550EBE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IZVRŠENJE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2023.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6448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REBALANS 2024.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107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TEKUĆI PLAN 2024.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944" w14:textId="77777777" w:rsidR="009637EE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OSTVARENJE</w:t>
            </w:r>
          </w:p>
          <w:p w14:paraId="071A6F57" w14:textId="6D379605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IZVRŠENJE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2024.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0F42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8BA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F73BA2" w:rsidRPr="00FC271C" w14:paraId="0BA79FCB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B81C7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A1C8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6479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6899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8C21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7999" w14:textId="570EDF8C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6=5/2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B17C" w14:textId="70A2D752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7=5/4</w:t>
            </w:r>
          </w:p>
        </w:tc>
      </w:tr>
      <w:tr w:rsidR="00F73BA2" w:rsidRPr="00FC271C" w14:paraId="67E5D800" w14:textId="77777777" w:rsidTr="00F73BA2">
        <w:trPr>
          <w:trHeight w:val="31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9D5A2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8 PRIMICI OD FIN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IMOVINE I ZADUŽIVANJA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8C1B" w14:textId="7F11A1E0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C2FF" w14:textId="5DED98F4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8CA7" w14:textId="451BFE0A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983E" w14:textId="322B6059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77E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5DC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3BA2" w:rsidRPr="00FC271C" w14:paraId="34466065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C543C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5 IZDACI ZA FIN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IMOVINU I OTPLATE ZAJMOVA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72A4" w14:textId="327F8AF2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C656" w14:textId="2D79BE20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9308" w14:textId="4E339F79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5FD1" w14:textId="627C1B63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9A76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69ED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3BA2" w:rsidRPr="00FC271C" w14:paraId="0303CC91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AECDE7B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RAZLIKA PRIMITAKA I IZDATAKA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1FDBB7" w14:textId="4E3F0DB5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D3CDCD0" w14:textId="605594EC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2EFEF88" w14:textId="0B1283C3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9C4F153" w14:textId="62023E0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ACA7B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E6958B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3BA2" w:rsidRPr="00FC271C" w14:paraId="63C04DE0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B8CB3" w14:textId="28F92A30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PRIJENOS SRED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IZ PRETHODNE GODINE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8771" w14:textId="0503F646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291.195,6</w:t>
            </w:r>
            <w:r w:rsidR="00F73BA2">
              <w:rPr>
                <w:rFonts w:ascii="Arial" w:hAnsi="Arial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7C8" w14:textId="3EE12F0F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273.5</w:t>
            </w:r>
            <w:r w:rsidR="004104D0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5B4" w14:textId="1F9B5372" w:rsidR="009637EE" w:rsidRPr="00FC271C" w:rsidRDefault="004104D0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273.5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2041" w14:textId="6A3340CB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273.519,7</w:t>
            </w:r>
            <w:r w:rsidR="004104D0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63F5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93,93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A211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F73BA2" w:rsidRPr="00FC271C" w14:paraId="387C778B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87333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PRIJENOS SRED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U SLJEDEĆE RAZDOBLJE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49CA" w14:textId="4C1144F5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-273.519,7</w:t>
            </w:r>
            <w:r w:rsidR="00F73BA2">
              <w:rPr>
                <w:rFonts w:ascii="Arial" w:hAnsi="Arial" w:cs="Arial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9130" w14:textId="5C5229FC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-9.77</w:t>
            </w:r>
            <w:r w:rsidR="004104D0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D13B" w14:textId="731958D7" w:rsidR="009637EE" w:rsidRPr="00FC271C" w:rsidRDefault="004104D0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-9.77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8266" w14:textId="62878FC5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-9.775,8</w:t>
            </w:r>
            <w:r w:rsidR="004104D0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6537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3,57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A082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99,99</w:t>
            </w:r>
          </w:p>
        </w:tc>
      </w:tr>
      <w:tr w:rsidR="00F73BA2" w:rsidRPr="00FC271C" w14:paraId="60C5BAD6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A02D196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NETO FINANCIRANJE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2F22E8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17.675,82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5B200F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263.743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E9AA00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263.743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2BB7F0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263.743,98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3C4847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ADC0AE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3BA2" w:rsidRPr="00FC271C" w14:paraId="1EB96953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D85AD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VIŠAK/MANJAK + NETO FINANCIRANJE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1E00D5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12D40E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5DED69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9A432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CCDDD8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676C7A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</w:tbl>
    <w:p w14:paraId="21A3EB84" w14:textId="77777777" w:rsidR="009637EE" w:rsidRPr="009637EE" w:rsidRDefault="009637EE" w:rsidP="009637EE">
      <w:pPr>
        <w:rPr>
          <w:sz w:val="24"/>
          <w:szCs w:val="24"/>
        </w:rPr>
      </w:pPr>
    </w:p>
    <w:p w14:paraId="167178DA" w14:textId="77777777" w:rsidR="00CF0ADC" w:rsidRPr="00A42638" w:rsidRDefault="00CF0ADC" w:rsidP="00CF0ADC">
      <w:pPr>
        <w:rPr>
          <w:i/>
          <w:sz w:val="24"/>
          <w:szCs w:val="24"/>
        </w:rPr>
      </w:pPr>
      <w:r w:rsidRPr="00A42638">
        <w:rPr>
          <w:i/>
          <w:sz w:val="24"/>
          <w:szCs w:val="24"/>
        </w:rPr>
        <w:t>RAČUN FINANCIRANJA</w:t>
      </w:r>
    </w:p>
    <w:p w14:paraId="1A361279" w14:textId="5E84244D" w:rsidR="00CF0ADC" w:rsidRPr="006A6E42" w:rsidRDefault="00CF0ADC" w:rsidP="00CF0ADC">
      <w:pPr>
        <w:rPr>
          <w:sz w:val="24"/>
          <w:szCs w:val="24"/>
        </w:rPr>
      </w:pPr>
      <w:r>
        <w:rPr>
          <w:sz w:val="24"/>
          <w:szCs w:val="24"/>
        </w:rPr>
        <w:t>Planirani manjak između planiranih prihoda i planiranih rashoda u 202</w:t>
      </w:r>
      <w:r w:rsidR="001967BA">
        <w:rPr>
          <w:sz w:val="24"/>
          <w:szCs w:val="24"/>
        </w:rPr>
        <w:t>4</w:t>
      </w:r>
      <w:r>
        <w:rPr>
          <w:sz w:val="24"/>
          <w:szCs w:val="24"/>
        </w:rPr>
        <w:t xml:space="preserve">. godini u iznosu od </w:t>
      </w:r>
      <w:r w:rsidR="00A9561C">
        <w:rPr>
          <w:sz w:val="24"/>
          <w:szCs w:val="24"/>
        </w:rPr>
        <w:t>17.675,82</w:t>
      </w:r>
      <w:r>
        <w:rPr>
          <w:sz w:val="24"/>
          <w:szCs w:val="24"/>
        </w:rPr>
        <w:t xml:space="preserve"> eura financ</w:t>
      </w:r>
      <w:r w:rsidRPr="00441546">
        <w:rPr>
          <w:color w:val="000000" w:themeColor="text1"/>
          <w:sz w:val="24"/>
          <w:szCs w:val="24"/>
        </w:rPr>
        <w:t>ir</w:t>
      </w:r>
      <w:r w:rsidR="0055453F" w:rsidRPr="00441546">
        <w:rPr>
          <w:color w:val="000000" w:themeColor="text1"/>
          <w:sz w:val="24"/>
          <w:szCs w:val="24"/>
        </w:rPr>
        <w:t>a</w:t>
      </w:r>
      <w:r w:rsidRPr="00441546">
        <w:rPr>
          <w:color w:val="000000" w:themeColor="text1"/>
          <w:sz w:val="24"/>
          <w:szCs w:val="24"/>
        </w:rPr>
        <w:t xml:space="preserve">o </w:t>
      </w:r>
      <w:r>
        <w:rPr>
          <w:sz w:val="24"/>
          <w:szCs w:val="24"/>
        </w:rPr>
        <w:t>se iz prenesenih sredstava iz prethodne 202</w:t>
      </w:r>
      <w:r w:rsidR="001967BA">
        <w:rPr>
          <w:sz w:val="24"/>
          <w:szCs w:val="24"/>
        </w:rPr>
        <w:t>3</w:t>
      </w:r>
      <w:r>
        <w:rPr>
          <w:sz w:val="24"/>
          <w:szCs w:val="24"/>
        </w:rPr>
        <w:t xml:space="preserve">. godine koja iznose </w:t>
      </w:r>
      <w:r w:rsidR="001967BA">
        <w:rPr>
          <w:sz w:val="24"/>
          <w:szCs w:val="24"/>
        </w:rPr>
        <w:t>273.519,78</w:t>
      </w:r>
      <w:r>
        <w:rPr>
          <w:sz w:val="24"/>
          <w:szCs w:val="24"/>
        </w:rPr>
        <w:t xml:space="preserve"> eura (od čega su vlastiti prihodi 9,775,80 eura i </w:t>
      </w:r>
      <w:r w:rsidR="001967BA">
        <w:rPr>
          <w:sz w:val="24"/>
          <w:szCs w:val="24"/>
        </w:rPr>
        <w:t>263.743,98</w:t>
      </w:r>
      <w:r>
        <w:rPr>
          <w:sz w:val="24"/>
          <w:szCs w:val="24"/>
        </w:rPr>
        <w:t xml:space="preserve"> eura pomoć EU – sredstva namjenjena za razvoj IT infrastrukture HAA te razvoj nove akreditacijske sheme za kibernetičku sigurnost).</w:t>
      </w:r>
    </w:p>
    <w:p w14:paraId="2DA12308" w14:textId="77777777" w:rsidR="00F5175C" w:rsidRDefault="00F5175C" w:rsidP="006A41FB">
      <w:pPr>
        <w:rPr>
          <w:sz w:val="24"/>
          <w:szCs w:val="24"/>
        </w:rPr>
      </w:pPr>
    </w:p>
    <w:p w14:paraId="45DAE875" w14:textId="2FAC8833" w:rsidR="00F5175C" w:rsidRPr="00F5175C" w:rsidRDefault="00F5175C" w:rsidP="00F5175C">
      <w:pPr>
        <w:pStyle w:val="ListParagraph"/>
        <w:numPr>
          <w:ilvl w:val="0"/>
          <w:numId w:val="3"/>
        </w:numPr>
        <w:rPr>
          <w:b/>
        </w:rPr>
      </w:pPr>
      <w:r w:rsidRPr="00F5175C">
        <w:rPr>
          <w:b/>
        </w:rPr>
        <w:t>PRIJENOS SREDSTAVA IZ PRETHODNE I U SLJEDEĆU GODINU</w:t>
      </w:r>
    </w:p>
    <w:p w14:paraId="7A149A88" w14:textId="0C9367BE" w:rsidR="00F5175C" w:rsidRDefault="00F5175C" w:rsidP="00F5175C">
      <w:pPr>
        <w:rPr>
          <w:sz w:val="24"/>
          <w:szCs w:val="24"/>
        </w:rPr>
      </w:pPr>
      <w:r>
        <w:rPr>
          <w:sz w:val="24"/>
          <w:szCs w:val="24"/>
        </w:rPr>
        <w:t>Ostvaren je donos iz 202</w:t>
      </w:r>
      <w:r w:rsidR="00A9561C">
        <w:rPr>
          <w:sz w:val="24"/>
          <w:szCs w:val="24"/>
        </w:rPr>
        <w:t>3</w:t>
      </w:r>
      <w:r>
        <w:rPr>
          <w:sz w:val="24"/>
          <w:szCs w:val="24"/>
        </w:rPr>
        <w:t>. godine u 202</w:t>
      </w:r>
      <w:r w:rsidR="00A9561C">
        <w:rPr>
          <w:sz w:val="24"/>
          <w:szCs w:val="24"/>
        </w:rPr>
        <w:t>4</w:t>
      </w:r>
      <w:r>
        <w:rPr>
          <w:sz w:val="24"/>
          <w:szCs w:val="24"/>
        </w:rPr>
        <w:t xml:space="preserve">. (ukupno </w:t>
      </w:r>
      <w:r w:rsidR="00A9561C">
        <w:rPr>
          <w:sz w:val="24"/>
          <w:szCs w:val="24"/>
        </w:rPr>
        <w:t>273.519,7</w:t>
      </w:r>
      <w:r w:rsidR="00E86A6A">
        <w:rPr>
          <w:sz w:val="24"/>
          <w:szCs w:val="24"/>
        </w:rPr>
        <w:t>8</w:t>
      </w:r>
      <w:r>
        <w:rPr>
          <w:sz w:val="24"/>
          <w:szCs w:val="24"/>
        </w:rPr>
        <w:t xml:space="preserve"> eura od čega je 9.775,80 eura </w:t>
      </w:r>
      <w:r w:rsidRPr="00D3737A">
        <w:rPr>
          <w:sz w:val="24"/>
          <w:szCs w:val="24"/>
        </w:rPr>
        <w:t>na izvoru financiranja 31 – Vlastiti prihodi</w:t>
      </w:r>
      <w:r>
        <w:rPr>
          <w:sz w:val="24"/>
          <w:szCs w:val="24"/>
        </w:rPr>
        <w:t xml:space="preserve"> i eura na izvoru financiranja 51 – Pomoći EU </w:t>
      </w:r>
      <w:r w:rsidR="00A9561C">
        <w:rPr>
          <w:sz w:val="24"/>
          <w:szCs w:val="24"/>
        </w:rPr>
        <w:t>263.743,98</w:t>
      </w:r>
      <w:r>
        <w:rPr>
          <w:sz w:val="24"/>
          <w:szCs w:val="24"/>
        </w:rPr>
        <w:t xml:space="preserve"> i </w:t>
      </w:r>
      <w:r w:rsidRPr="00441546">
        <w:rPr>
          <w:color w:val="000000" w:themeColor="text1"/>
          <w:sz w:val="24"/>
          <w:szCs w:val="24"/>
        </w:rPr>
        <w:t>odnos iz  202</w:t>
      </w:r>
      <w:r w:rsidR="00A9561C">
        <w:rPr>
          <w:color w:val="000000" w:themeColor="text1"/>
          <w:sz w:val="24"/>
          <w:szCs w:val="24"/>
        </w:rPr>
        <w:t>4</w:t>
      </w:r>
      <w:r w:rsidRPr="00441546">
        <w:rPr>
          <w:color w:val="000000" w:themeColor="text1"/>
          <w:sz w:val="24"/>
          <w:szCs w:val="24"/>
        </w:rPr>
        <w:t>. u 202</w:t>
      </w:r>
      <w:r w:rsidR="00A9561C">
        <w:rPr>
          <w:color w:val="000000" w:themeColor="text1"/>
          <w:sz w:val="24"/>
          <w:szCs w:val="24"/>
        </w:rPr>
        <w:t>5</w:t>
      </w:r>
      <w:r w:rsidRPr="00441546">
        <w:rPr>
          <w:color w:val="000000" w:themeColor="text1"/>
          <w:sz w:val="24"/>
          <w:szCs w:val="24"/>
        </w:rPr>
        <w:t xml:space="preserve">. </w:t>
      </w:r>
      <w:r>
        <w:rPr>
          <w:sz w:val="24"/>
          <w:szCs w:val="24"/>
        </w:rPr>
        <w:t xml:space="preserve">godinu </w:t>
      </w:r>
      <w:r w:rsidR="00A9561C">
        <w:rPr>
          <w:sz w:val="24"/>
          <w:szCs w:val="24"/>
        </w:rPr>
        <w:t xml:space="preserve">iznosi 9.775,80 eura i odnosi se na </w:t>
      </w:r>
      <w:r w:rsidRPr="00D3737A">
        <w:rPr>
          <w:sz w:val="24"/>
          <w:szCs w:val="24"/>
        </w:rPr>
        <w:t>izvor financiranja 31 – Vlastiti prihodi</w:t>
      </w:r>
      <w:r w:rsidR="00A956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BDF7E94" w14:textId="69F5C633" w:rsidR="00F5175C" w:rsidRPr="007A1BAA" w:rsidRDefault="00F5175C" w:rsidP="00F5175C">
      <w:pPr>
        <w:spacing w:after="0"/>
        <w:rPr>
          <w:sz w:val="24"/>
          <w:szCs w:val="24"/>
        </w:rPr>
      </w:pPr>
      <w:r w:rsidRPr="007A1BAA">
        <w:rPr>
          <w:sz w:val="24"/>
          <w:szCs w:val="24"/>
        </w:rPr>
        <w:t xml:space="preserve">   </w:t>
      </w:r>
    </w:p>
    <w:p w14:paraId="1838C23D" w14:textId="6434772D" w:rsidR="00313FB4" w:rsidRDefault="00F5175C" w:rsidP="00F5175C">
      <w:pPr>
        <w:pStyle w:val="ListParagraph"/>
        <w:numPr>
          <w:ilvl w:val="0"/>
          <w:numId w:val="3"/>
        </w:numPr>
        <w:ind w:right="261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POSEBNI IZVJEŠTAJI</w:t>
      </w:r>
    </w:p>
    <w:p w14:paraId="0FA5BDE2" w14:textId="77777777" w:rsidR="00F5175C" w:rsidRPr="00F5175C" w:rsidRDefault="00F5175C" w:rsidP="00F5175C">
      <w:pPr>
        <w:pStyle w:val="ListParagraph"/>
        <w:ind w:left="1080" w:right="261"/>
        <w:rPr>
          <w:b/>
          <w:iCs/>
          <w:color w:val="000000"/>
          <w:sz w:val="24"/>
          <w:szCs w:val="24"/>
        </w:rPr>
      </w:pPr>
    </w:p>
    <w:p w14:paraId="54806830" w14:textId="4464C115" w:rsidR="00313FB4" w:rsidRPr="00F5175C" w:rsidRDefault="00F5175C" w:rsidP="00313FB4">
      <w:pPr>
        <w:rPr>
          <w:bCs/>
        </w:rPr>
      </w:pPr>
      <w:r w:rsidRPr="00F5175C">
        <w:rPr>
          <w:bCs/>
        </w:rPr>
        <w:t xml:space="preserve">1. </w:t>
      </w:r>
      <w:r w:rsidR="00313FB4" w:rsidRPr="00F5175C">
        <w:rPr>
          <w:bCs/>
        </w:rPr>
        <w:t>IZVJEŠTAJ O ZADUŽIVANJU NA DOMAĆEM I STRANOM TRŽIŠTU NOVCA I KAPITALA</w:t>
      </w:r>
    </w:p>
    <w:p w14:paraId="5D29E4F5" w14:textId="77777777" w:rsidR="00313FB4" w:rsidRDefault="00313FB4" w:rsidP="00313FB4">
      <w:pPr>
        <w:rPr>
          <w:sz w:val="24"/>
          <w:szCs w:val="24"/>
        </w:rPr>
      </w:pPr>
      <w:r>
        <w:rPr>
          <w:sz w:val="24"/>
          <w:szCs w:val="24"/>
        </w:rPr>
        <w:t>Nije bilo zaduživanja na domaćem i stranom tržištu novca i kapitala.</w:t>
      </w:r>
    </w:p>
    <w:p w14:paraId="2B417DF2" w14:textId="77777777" w:rsidR="00A84AB1" w:rsidRDefault="00A84AB1" w:rsidP="00313FB4">
      <w:pPr>
        <w:rPr>
          <w:sz w:val="24"/>
          <w:szCs w:val="24"/>
        </w:rPr>
      </w:pPr>
    </w:p>
    <w:p w14:paraId="0A8978D2" w14:textId="2744CE3C" w:rsidR="00A84AB1" w:rsidRPr="00F5175C" w:rsidRDefault="00F5175C" w:rsidP="00A84AB1">
      <w:r w:rsidRPr="00F5175C">
        <w:t xml:space="preserve">2. </w:t>
      </w:r>
      <w:r w:rsidR="00A84AB1" w:rsidRPr="00F5175C">
        <w:t>IZVJEŠTAJ O DANIM JAMSTVIMA I PLAĆANJIMA PO PROTESTIRANIM JAMSTVIMA</w:t>
      </w:r>
    </w:p>
    <w:p w14:paraId="56ECC3D7" w14:textId="77777777" w:rsidR="00A84AB1" w:rsidRDefault="00A84AB1" w:rsidP="00A84AB1">
      <w:pPr>
        <w:rPr>
          <w:sz w:val="24"/>
          <w:szCs w:val="24"/>
        </w:rPr>
      </w:pPr>
      <w:r>
        <w:rPr>
          <w:sz w:val="24"/>
          <w:szCs w:val="24"/>
        </w:rPr>
        <w:t>Nisu davana jamstva niti je plaćano po protestiranim jamstvima.</w:t>
      </w:r>
    </w:p>
    <w:p w14:paraId="5421E7BF" w14:textId="77777777" w:rsidR="00A35E10" w:rsidRDefault="00A35E10" w:rsidP="00A35E10">
      <w:pPr>
        <w:rPr>
          <w:b/>
          <w:bCs/>
        </w:rPr>
      </w:pPr>
    </w:p>
    <w:p w14:paraId="33C45FA8" w14:textId="184C554A" w:rsidR="00A42638" w:rsidRDefault="00DC61CE" w:rsidP="00DC61CE">
      <w:r>
        <w:t xml:space="preserve">3. </w:t>
      </w:r>
      <w:r w:rsidR="00A42638" w:rsidRPr="00F5175C">
        <w:t xml:space="preserve">IZVJEŠTAJ O KORIŠTENJU SREDSTAVA FONDOVA EUROPSKE UNIJE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979"/>
        <w:gridCol w:w="1560"/>
        <w:gridCol w:w="1418"/>
        <w:gridCol w:w="1574"/>
        <w:gridCol w:w="1548"/>
        <w:gridCol w:w="1414"/>
      </w:tblGrid>
      <w:tr w:rsidR="00594F3E" w:rsidRPr="00594F3E" w14:paraId="4A167715" w14:textId="77777777" w:rsidTr="00EF14BB">
        <w:trPr>
          <w:trHeight w:val="397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FE43DD4" w14:textId="77777777" w:rsidR="00594F3E" w:rsidRPr="00594F3E" w:rsidRDefault="00594F3E" w:rsidP="00594F3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EU fond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224D545" w14:textId="3E70F2F7" w:rsidR="00594F3E" w:rsidRPr="00594F3E" w:rsidRDefault="00594F3E" w:rsidP="00594F3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31. prosinac 202</w:t>
            </w:r>
            <w:r w:rsidR="003505E7" w:rsidRPr="00EF14B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  <w:r w:rsidRPr="00594F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</w:tr>
      <w:tr w:rsidR="00594F3E" w:rsidRPr="00EF14BB" w14:paraId="772B54DB" w14:textId="77777777" w:rsidTr="00A9561C">
        <w:trPr>
          <w:trHeight w:val="363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3140" w14:textId="77777777" w:rsidR="00594F3E" w:rsidRPr="00594F3E" w:rsidRDefault="00594F3E" w:rsidP="00594F3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8E54F2C" w14:textId="77777777" w:rsidR="00594F3E" w:rsidRPr="00594F3E" w:rsidRDefault="00594F3E" w:rsidP="00594F3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01B2C8A" w14:textId="77777777" w:rsidR="00594F3E" w:rsidRPr="00594F3E" w:rsidRDefault="00594F3E" w:rsidP="00594F3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Primici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D889701" w14:textId="77777777" w:rsidR="00594F3E" w:rsidRPr="00594F3E" w:rsidRDefault="00594F3E" w:rsidP="00594F3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Rashodi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C15D85B" w14:textId="77777777" w:rsidR="00594F3E" w:rsidRPr="00594F3E" w:rsidRDefault="00594F3E" w:rsidP="00594F3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Izdaci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D19F07A" w14:textId="77777777" w:rsidR="00594F3E" w:rsidRPr="00594F3E" w:rsidRDefault="00594F3E" w:rsidP="00594F3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Stanje potraživanja od EU</w:t>
            </w:r>
          </w:p>
        </w:tc>
      </w:tr>
      <w:tr w:rsidR="00594F3E" w:rsidRPr="00EF14BB" w14:paraId="49F2094B" w14:textId="77777777" w:rsidTr="00EF14BB">
        <w:trPr>
          <w:trHeight w:val="39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100" w14:textId="77777777" w:rsidR="003505E7" w:rsidRPr="00EF14BB" w:rsidRDefault="003505E7" w:rsidP="003505E7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51 </w:t>
            </w: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  <w:p w14:paraId="54633BE9" w14:textId="38DD3CF3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3847" w14:textId="47BC67BE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E572" w14:textId="77777777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FE62" w14:textId="61EEE74F" w:rsidR="00594F3E" w:rsidRPr="00594F3E" w:rsidRDefault="003505E7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263.743,98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E9BD" w14:textId="77777777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E655" w14:textId="2A18253C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594F3E" w:rsidRPr="00EF14BB" w14:paraId="2E515F0D" w14:textId="77777777" w:rsidTr="00EF14BB">
        <w:trPr>
          <w:trHeight w:val="39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67D9" w14:textId="17EC9885" w:rsidR="00594F3E" w:rsidRPr="00594F3E" w:rsidRDefault="003505E7" w:rsidP="003505E7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 Refundacije iz pomoći EU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D55B" w14:textId="21E4CB5A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8FC" w14:textId="77777777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6804" w14:textId="2F1C0DDB" w:rsidR="00594F3E" w:rsidRPr="00594F3E" w:rsidRDefault="003505E7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196.694,79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2B55" w14:textId="77777777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3977" w14:textId="6C75C952" w:rsidR="00594F3E" w:rsidRPr="00594F3E" w:rsidRDefault="003505E7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196.694,79</w:t>
            </w:r>
          </w:p>
        </w:tc>
      </w:tr>
      <w:tr w:rsidR="00594F3E" w:rsidRPr="00EF14BB" w14:paraId="7EE8DD48" w14:textId="77777777" w:rsidTr="00EF14BB">
        <w:trPr>
          <w:trHeight w:val="39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40E1" w14:textId="7B79E6E2" w:rsidR="00594F3E" w:rsidRPr="00594F3E" w:rsidRDefault="003505E7" w:rsidP="003505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F14BB">
              <w:rPr>
                <w:rFonts w:ascii="Arial" w:hAnsi="Arial" w:cs="Arial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B254" w14:textId="54FF3CB6" w:rsidR="00594F3E" w:rsidRPr="00594F3E" w:rsidRDefault="003505E7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F14BB"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425E" w14:textId="77777777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F8AD" w14:textId="28444CC5" w:rsidR="00594F3E" w:rsidRPr="00594F3E" w:rsidRDefault="00DC61C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bookmarkStart w:id="0" w:name="_Hlk191629872"/>
            <w:r w:rsidRPr="00EF14BB">
              <w:rPr>
                <w:rFonts w:ascii="Arial" w:hAnsi="Arial" w:cs="Arial"/>
                <w:sz w:val="16"/>
                <w:szCs w:val="16"/>
                <w:lang w:val="hr-HR" w:eastAsia="hr-HR"/>
              </w:rPr>
              <w:t>460.438,77</w:t>
            </w:r>
            <w:bookmarkEnd w:id="0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C73C" w14:textId="77777777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2017" w14:textId="77777777" w:rsidR="00594F3E" w:rsidRPr="00594F3E" w:rsidRDefault="00594F3E" w:rsidP="003505E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4F3E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61B714A7" w14:textId="77777777" w:rsidR="00594F3E" w:rsidRPr="00EF14BB" w:rsidRDefault="00594F3E" w:rsidP="00A4263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38"/>
        <w:gridCol w:w="2329"/>
        <w:gridCol w:w="1619"/>
        <w:gridCol w:w="1626"/>
        <w:gridCol w:w="1626"/>
      </w:tblGrid>
      <w:tr w:rsidR="005C0E84" w:rsidRPr="00EF14BB" w14:paraId="24873F41" w14:textId="77777777" w:rsidTr="00B71154">
        <w:trPr>
          <w:trHeight w:val="510"/>
        </w:trPr>
        <w:tc>
          <w:tcPr>
            <w:tcW w:w="850" w:type="dxa"/>
            <w:shd w:val="clear" w:color="000000" w:fill="D9E1F2"/>
            <w:vAlign w:val="center"/>
            <w:hideMark/>
          </w:tcPr>
          <w:p w14:paraId="1B84D516" w14:textId="77777777" w:rsidR="005C0E84" w:rsidRPr="00EF14BB" w:rsidRDefault="005C0E84" w:rsidP="0069566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438" w:type="dxa"/>
            <w:shd w:val="clear" w:color="000000" w:fill="D9E1F2"/>
            <w:vAlign w:val="center"/>
            <w:hideMark/>
          </w:tcPr>
          <w:p w14:paraId="51EF645D" w14:textId="7508AFD6" w:rsidR="005C0E84" w:rsidRPr="00EF14BB" w:rsidRDefault="005C0E84" w:rsidP="005C0E8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Program i projekt</w:t>
            </w:r>
          </w:p>
        </w:tc>
        <w:tc>
          <w:tcPr>
            <w:tcW w:w="2329" w:type="dxa"/>
            <w:shd w:val="clear" w:color="000000" w:fill="D9E1F2"/>
            <w:vAlign w:val="center"/>
            <w:hideMark/>
          </w:tcPr>
          <w:p w14:paraId="391CBAD2" w14:textId="77777777" w:rsidR="005C0E84" w:rsidRPr="00EF14BB" w:rsidRDefault="005C0E84" w:rsidP="0069566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Program i projekt</w:t>
            </w:r>
          </w:p>
          <w:p w14:paraId="67EA268A" w14:textId="1E37CE2D" w:rsidR="005C0E84" w:rsidRPr="00EF14BB" w:rsidRDefault="005C0E84" w:rsidP="0069566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EU fond</w:t>
            </w:r>
          </w:p>
        </w:tc>
        <w:tc>
          <w:tcPr>
            <w:tcW w:w="1619" w:type="dxa"/>
            <w:shd w:val="clear" w:color="000000" w:fill="D9E1F2"/>
            <w:vAlign w:val="center"/>
            <w:hideMark/>
          </w:tcPr>
          <w:p w14:paraId="1CD56569" w14:textId="55A6DA78" w:rsidR="005C0E84" w:rsidRPr="00EF14BB" w:rsidRDefault="005C0E84" w:rsidP="0069566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Ukupno dodjeljena sredstva</w:t>
            </w:r>
          </w:p>
        </w:tc>
        <w:tc>
          <w:tcPr>
            <w:tcW w:w="1626" w:type="dxa"/>
            <w:shd w:val="clear" w:color="000000" w:fill="D9E1F2"/>
            <w:vAlign w:val="center"/>
            <w:hideMark/>
          </w:tcPr>
          <w:p w14:paraId="41A0287D" w14:textId="31A01AF7" w:rsidR="005C0E84" w:rsidRPr="00EF14BB" w:rsidRDefault="005C0E84" w:rsidP="00246B9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Ukupno uplaćeno </w:t>
            </w:r>
          </w:p>
        </w:tc>
        <w:tc>
          <w:tcPr>
            <w:tcW w:w="1626" w:type="dxa"/>
            <w:shd w:val="clear" w:color="000000" w:fill="D9E1F2"/>
            <w:vAlign w:val="center"/>
            <w:hideMark/>
          </w:tcPr>
          <w:p w14:paraId="2C2CFDDB" w14:textId="77777777" w:rsidR="005C0E84" w:rsidRPr="00EF14BB" w:rsidRDefault="005C0E84" w:rsidP="00246B9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Ukupno isplaćeno</w:t>
            </w:r>
          </w:p>
          <w:p w14:paraId="383E17DB" w14:textId="6A74FC5F" w:rsidR="005C0E84" w:rsidRPr="00EF14BB" w:rsidRDefault="005C0E84" w:rsidP="00246B9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2024.</w:t>
            </w:r>
          </w:p>
        </w:tc>
      </w:tr>
      <w:tr w:rsidR="00EC11EE" w:rsidRPr="00EF14BB" w14:paraId="5CFED711" w14:textId="77777777" w:rsidTr="00B71154">
        <w:trPr>
          <w:trHeight w:val="1155"/>
        </w:trPr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405270B4" w14:textId="20D68AC4" w:rsidR="00EC11EE" w:rsidRPr="00EF14BB" w:rsidRDefault="00EC11EE" w:rsidP="0069566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  <w:hideMark/>
          </w:tcPr>
          <w:p w14:paraId="35BA85A1" w14:textId="0E2E447B" w:rsidR="00EC11EE" w:rsidRPr="00EF14BB" w:rsidRDefault="00EC11EE" w:rsidP="0069566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A652013 </w:t>
            </w:r>
            <w:bookmarkStart w:id="1" w:name="_Hlk191629708"/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Razvoj IT sustava i akreditacijske sheme</w:t>
            </w:r>
            <w:bookmarkEnd w:id="1"/>
          </w:p>
        </w:tc>
        <w:tc>
          <w:tcPr>
            <w:tcW w:w="2329" w:type="dxa"/>
            <w:shd w:val="clear" w:color="auto" w:fill="auto"/>
            <w:vAlign w:val="center"/>
            <w:hideMark/>
          </w:tcPr>
          <w:p w14:paraId="1C61BF14" w14:textId="529BA09E" w:rsidR="00EC11EE" w:rsidRPr="00EF14BB" w:rsidRDefault="00EC11EE" w:rsidP="00EF14B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51 Pomoći EU</w:t>
            </w:r>
          </w:p>
          <w:p w14:paraId="10FA61B4" w14:textId="4558B586" w:rsidR="00EC11EE" w:rsidRPr="00EF14BB" w:rsidRDefault="00EC11EE" w:rsidP="00EF14B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450A91DB" w14:textId="7E9C8BF2" w:rsidR="00EC11EE" w:rsidRPr="00EF14BB" w:rsidRDefault="00EC11EE" w:rsidP="00EC1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4BB">
              <w:rPr>
                <w:rFonts w:ascii="Arial" w:hAnsi="Arial" w:cs="Arial"/>
                <w:sz w:val="16"/>
                <w:szCs w:val="16"/>
              </w:rPr>
              <w:t>758.737</w:t>
            </w:r>
          </w:p>
          <w:p w14:paraId="2BD2F27E" w14:textId="765FDDB1" w:rsidR="00EC11EE" w:rsidRPr="00EF14BB" w:rsidRDefault="00EC11EE" w:rsidP="00EC11E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sz w:val="16"/>
                <w:szCs w:val="16"/>
              </w:rPr>
              <w:t>(EU sredstva – 569.053 eura + nac. sufinancir. 189.684 eura)</w:t>
            </w: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 </w:t>
            </w:r>
          </w:p>
          <w:p w14:paraId="7082EA3D" w14:textId="1FD8A289" w:rsidR="00EC11EE" w:rsidRPr="00EF14BB" w:rsidRDefault="00EC11EE" w:rsidP="005C0E8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26" w:type="dxa"/>
            <w:vMerge w:val="restart"/>
            <w:shd w:val="clear" w:color="auto" w:fill="auto"/>
            <w:noWrap/>
            <w:vAlign w:val="center"/>
          </w:tcPr>
          <w:p w14:paraId="3B22388A" w14:textId="33BD4F97" w:rsidR="00EC11EE" w:rsidRPr="00EF14BB" w:rsidRDefault="00A9561C" w:rsidP="005C0E84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bookmarkStart w:id="2" w:name="_Hlk191629796"/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340.858,30 </w:t>
            </w:r>
            <w:bookmarkEnd w:id="2"/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(2021.)</w:t>
            </w:r>
          </w:p>
          <w:p w14:paraId="4D4923B5" w14:textId="5631449E" w:rsidR="00EC11EE" w:rsidRPr="00EF14BB" w:rsidRDefault="00EC11EE" w:rsidP="005C0E84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(263.743,98</w:t>
            </w:r>
            <w:r w:rsidRPr="00EF14BB">
              <w:rPr>
                <w:rFonts w:ascii="Arial" w:hAnsi="Arial" w:cs="Arial"/>
                <w:sz w:val="16"/>
                <w:szCs w:val="16"/>
              </w:rPr>
              <w:t xml:space="preserve"> eura </w:t>
            </w: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Preneseno iz 2023.)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09EBADD3" w14:textId="39FB0A44" w:rsidR="00EC11EE" w:rsidRPr="00EF14BB" w:rsidRDefault="00594F3E" w:rsidP="006956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263.743,98</w:t>
            </w:r>
          </w:p>
        </w:tc>
      </w:tr>
      <w:tr w:rsidR="00EC11EE" w:rsidRPr="00EF14BB" w14:paraId="31811E41" w14:textId="77777777" w:rsidTr="00B71154">
        <w:trPr>
          <w:trHeight w:val="263"/>
        </w:trPr>
        <w:tc>
          <w:tcPr>
            <w:tcW w:w="850" w:type="dxa"/>
            <w:vMerge/>
            <w:shd w:val="clear" w:color="auto" w:fill="auto"/>
            <w:noWrap/>
            <w:vAlign w:val="center"/>
          </w:tcPr>
          <w:p w14:paraId="62823B67" w14:textId="77777777" w:rsidR="00EC11EE" w:rsidRPr="00EF14BB" w:rsidRDefault="00EC11EE" w:rsidP="0069566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92DCF43" w14:textId="77777777" w:rsidR="00EC11EE" w:rsidRPr="00EF14BB" w:rsidRDefault="00EC11EE" w:rsidP="0069566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D7505F2" w14:textId="4E498880" w:rsidR="00EC11EE" w:rsidRPr="00EF14BB" w:rsidRDefault="00EC11EE" w:rsidP="00EF14B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 Refundacije iz pomoći EU</w:t>
            </w: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7D71EF20" w14:textId="77777777" w:rsidR="00EC11EE" w:rsidRPr="00EF14BB" w:rsidRDefault="00EC11EE" w:rsidP="005C0E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  <w:noWrap/>
            <w:vAlign w:val="center"/>
          </w:tcPr>
          <w:p w14:paraId="16EF9324" w14:textId="77777777" w:rsidR="00EC11EE" w:rsidRPr="00EF14BB" w:rsidRDefault="00EC11EE" w:rsidP="006956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7FEC90EF" w14:textId="0980D9B5" w:rsidR="00EC11EE" w:rsidRPr="00EF14BB" w:rsidRDefault="00594F3E" w:rsidP="006956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F14B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196.694,79</w:t>
            </w:r>
          </w:p>
        </w:tc>
      </w:tr>
    </w:tbl>
    <w:p w14:paraId="378D8224" w14:textId="77777777" w:rsidR="00CF0ADC" w:rsidRDefault="00CF0ADC" w:rsidP="00CF0ADC">
      <w:pPr>
        <w:ind w:right="261"/>
        <w:rPr>
          <w:color w:val="000000"/>
          <w:sz w:val="24"/>
          <w:szCs w:val="24"/>
        </w:rPr>
      </w:pPr>
    </w:p>
    <w:p w14:paraId="7D2FC3B8" w14:textId="77777777" w:rsidR="00E86A6A" w:rsidRDefault="00E86A6A" w:rsidP="00E86A6A">
      <w:r>
        <w:t xml:space="preserve">Projekt </w:t>
      </w:r>
      <w:r w:rsidRPr="00592D3E">
        <w:t>Razvoj IT sustava i akreditacijske sheme</w:t>
      </w:r>
      <w:r>
        <w:t xml:space="preserve"> HAA financiran od strane Europske izvršne Agencije za zdravlje i digitalno gospodarstvo – HaDEA čija je ukupna vrijednost Ukupna vrijednost projekta je 758.737 eura eura (EU sredstva – 569.053, nacionalno sufinanciranje 189.684) započeo je 2021. kada je uplaćen predujam od </w:t>
      </w:r>
      <w:r w:rsidRPr="00592D3E">
        <w:t>340.858,30</w:t>
      </w:r>
      <w:r>
        <w:t xml:space="preserve"> eura. Tijekom 2024. godine na ime pomoći EU isplaćeno je ukupno </w:t>
      </w:r>
      <w:r w:rsidRPr="00592D3E">
        <w:t>460.438,77</w:t>
      </w:r>
      <w:r>
        <w:t xml:space="preserve"> eura bez nacionalnog sufinanciranja (153.267,59 eura). Projekt je završen 30. rujna 2024. godine i krajem studenog je poslano završno izvješće.</w:t>
      </w:r>
    </w:p>
    <w:p w14:paraId="714D7E62" w14:textId="73C4D438" w:rsidR="00A84AB1" w:rsidRPr="00F5175C" w:rsidRDefault="00F5175C" w:rsidP="00A84AB1">
      <w:r w:rsidRPr="00F5175C">
        <w:lastRenderedPageBreak/>
        <w:t xml:space="preserve">4. </w:t>
      </w:r>
      <w:r w:rsidR="00A84AB1" w:rsidRPr="00F5175C">
        <w:t>IZVJEŠTAJ O DANIM ZAJMOVIMA I POTRAŽIVANJIMA NA PO DANIM ZAJMOVIMA</w:t>
      </w:r>
    </w:p>
    <w:p w14:paraId="44F66672" w14:textId="77777777" w:rsidR="00A84AB1" w:rsidRDefault="00A84AB1" w:rsidP="00A84AB1">
      <w:pPr>
        <w:rPr>
          <w:sz w:val="24"/>
          <w:szCs w:val="24"/>
        </w:rPr>
      </w:pPr>
      <w:r>
        <w:rPr>
          <w:sz w:val="24"/>
          <w:szCs w:val="24"/>
        </w:rPr>
        <w:t>Nisu davani zajmovi niti postoje potraživanja po danim zajmovima.</w:t>
      </w:r>
    </w:p>
    <w:p w14:paraId="3BC4EC2C" w14:textId="77777777" w:rsidR="00A84AB1" w:rsidRDefault="00A84AB1" w:rsidP="00A84AB1">
      <w:pPr>
        <w:rPr>
          <w:sz w:val="24"/>
          <w:szCs w:val="24"/>
        </w:rPr>
      </w:pPr>
    </w:p>
    <w:p w14:paraId="0CA515C6" w14:textId="647C29C9" w:rsidR="00A84AB1" w:rsidRDefault="00F5175C" w:rsidP="00A84AB1">
      <w:r w:rsidRPr="00F5175C">
        <w:t xml:space="preserve">5. </w:t>
      </w:r>
      <w:r w:rsidR="00A84AB1" w:rsidRPr="00F5175C">
        <w:t>IZVJEŠTAJ O STANJU POTRAŽIVANJA I DOSPJELIH OBVEZA TE O STANJU POTENCIJALNIH OBVEZA PO OSNOVI SUDSKIH SPOROVA</w:t>
      </w:r>
    </w:p>
    <w:p w14:paraId="0648F9D3" w14:textId="77777777" w:rsidR="00F5175C" w:rsidRPr="00F5175C" w:rsidRDefault="00F5175C" w:rsidP="00A84AB1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84AB1" w:rsidRPr="00DD4E2F" w14:paraId="04D08F84" w14:textId="77777777" w:rsidTr="00A84AB1">
        <w:trPr>
          <w:trHeight w:val="649"/>
        </w:trPr>
        <w:tc>
          <w:tcPr>
            <w:tcW w:w="3256" w:type="dxa"/>
          </w:tcPr>
          <w:p w14:paraId="344112D7" w14:textId="2D899D11" w:rsidR="00A84AB1" w:rsidRPr="000C518B" w:rsidRDefault="00A84AB1" w:rsidP="00DD3C23">
            <w:pPr>
              <w:jc w:val="center"/>
            </w:pPr>
            <w:r w:rsidRPr="000C518B">
              <w:t>Stanje potraživanja na dan 3</w:t>
            </w:r>
            <w:r w:rsidR="00F5175C">
              <w:t>1</w:t>
            </w:r>
            <w:r w:rsidRPr="000C518B">
              <w:t>.</w:t>
            </w:r>
            <w:r w:rsidR="00F5175C">
              <w:t>12</w:t>
            </w:r>
            <w:r w:rsidRPr="000C518B">
              <w:t>.2024.</w:t>
            </w:r>
          </w:p>
        </w:tc>
        <w:tc>
          <w:tcPr>
            <w:tcW w:w="3118" w:type="dxa"/>
          </w:tcPr>
          <w:p w14:paraId="3F7C87A4" w14:textId="164AA0F6" w:rsidR="00A84AB1" w:rsidRPr="000C518B" w:rsidRDefault="00A84AB1" w:rsidP="00DD3C23">
            <w:pPr>
              <w:jc w:val="center"/>
            </w:pPr>
            <w:r w:rsidRPr="000C518B">
              <w:t xml:space="preserve">Stanje dospjelih obveza na dan </w:t>
            </w:r>
            <w:r w:rsidR="00F5175C">
              <w:t>31.12.</w:t>
            </w:r>
            <w:r w:rsidRPr="000C518B">
              <w:t>2024.</w:t>
            </w:r>
          </w:p>
        </w:tc>
        <w:tc>
          <w:tcPr>
            <w:tcW w:w="3119" w:type="dxa"/>
          </w:tcPr>
          <w:p w14:paraId="276C67A3" w14:textId="29DEB6E4" w:rsidR="00A84AB1" w:rsidRPr="000C518B" w:rsidRDefault="00A84AB1" w:rsidP="00DD3C23">
            <w:pPr>
              <w:jc w:val="center"/>
            </w:pPr>
            <w:r w:rsidRPr="000C518B">
              <w:t>Stanje obveza po sudskim sporovima na dan 3</w:t>
            </w:r>
            <w:r w:rsidR="00F5175C">
              <w:t>1</w:t>
            </w:r>
            <w:r w:rsidRPr="000C518B">
              <w:t>.</w:t>
            </w:r>
            <w:r w:rsidR="00F5175C">
              <w:t>12.</w:t>
            </w:r>
            <w:r w:rsidRPr="000C518B">
              <w:t>2024.</w:t>
            </w:r>
          </w:p>
        </w:tc>
      </w:tr>
      <w:tr w:rsidR="00A84AB1" w:rsidRPr="00C633C9" w14:paraId="2F757906" w14:textId="77777777" w:rsidTr="001C5AC1">
        <w:tc>
          <w:tcPr>
            <w:tcW w:w="3256" w:type="dxa"/>
            <w:vAlign w:val="center"/>
          </w:tcPr>
          <w:p w14:paraId="501E7060" w14:textId="77777777" w:rsidR="00A84AB1" w:rsidRPr="008E7CB1" w:rsidRDefault="00A84AB1" w:rsidP="001C5AC1">
            <w:pPr>
              <w:jc w:val="right"/>
              <w:rPr>
                <w:highlight w:val="yellow"/>
              </w:rPr>
            </w:pPr>
            <w:r w:rsidRPr="00C633C9">
              <w:t>0,00 eura</w:t>
            </w:r>
          </w:p>
        </w:tc>
        <w:tc>
          <w:tcPr>
            <w:tcW w:w="3118" w:type="dxa"/>
            <w:vAlign w:val="center"/>
          </w:tcPr>
          <w:p w14:paraId="3ACA0045" w14:textId="1C60B8BC" w:rsidR="00A84AB1" w:rsidRPr="008E7CB1" w:rsidRDefault="00C633C9" w:rsidP="001C5AC1">
            <w:pPr>
              <w:jc w:val="right"/>
              <w:rPr>
                <w:highlight w:val="yellow"/>
              </w:rPr>
            </w:pPr>
            <w:r w:rsidRPr="00C633C9">
              <w:t xml:space="preserve">43.402,04 </w:t>
            </w:r>
            <w:r w:rsidR="00A84AB1" w:rsidRPr="00C633C9">
              <w:t>eura</w:t>
            </w:r>
          </w:p>
        </w:tc>
        <w:tc>
          <w:tcPr>
            <w:tcW w:w="3119" w:type="dxa"/>
            <w:vAlign w:val="center"/>
          </w:tcPr>
          <w:p w14:paraId="72793865" w14:textId="77777777" w:rsidR="00A84AB1" w:rsidRPr="00C633C9" w:rsidRDefault="00A84AB1" w:rsidP="001C5AC1">
            <w:pPr>
              <w:jc w:val="right"/>
            </w:pPr>
            <w:r w:rsidRPr="00C633C9">
              <w:t>0,00 eura</w:t>
            </w:r>
          </w:p>
        </w:tc>
      </w:tr>
    </w:tbl>
    <w:p w14:paraId="48B0983F" w14:textId="77777777" w:rsidR="00A84AB1" w:rsidRDefault="00A84AB1" w:rsidP="00A84AB1">
      <w:pPr>
        <w:rPr>
          <w:sz w:val="24"/>
          <w:szCs w:val="24"/>
        </w:rPr>
      </w:pPr>
    </w:p>
    <w:p w14:paraId="39CD8426" w14:textId="77777777" w:rsidR="00CF0ADC" w:rsidRDefault="00CF0ADC" w:rsidP="00CF0ADC">
      <w:pPr>
        <w:ind w:right="261"/>
        <w:rPr>
          <w:color w:val="000000"/>
          <w:sz w:val="24"/>
          <w:szCs w:val="24"/>
        </w:rPr>
      </w:pPr>
    </w:p>
    <w:p w14:paraId="1C5388CA" w14:textId="6E48AF6E" w:rsidR="00670529" w:rsidRPr="00670529" w:rsidRDefault="00670529" w:rsidP="00670529">
      <w:pPr>
        <w:ind w:right="2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Zagrebu, </w:t>
      </w:r>
      <w:r w:rsidR="000C2EAF">
        <w:rPr>
          <w:color w:val="000000"/>
          <w:sz w:val="24"/>
          <w:szCs w:val="24"/>
        </w:rPr>
        <w:t>2</w:t>
      </w:r>
      <w:r w:rsidR="00F5175C">
        <w:rPr>
          <w:color w:val="000000"/>
          <w:sz w:val="24"/>
          <w:szCs w:val="24"/>
        </w:rPr>
        <w:t>5. ožujka</w:t>
      </w:r>
      <w:r>
        <w:rPr>
          <w:color w:val="000000"/>
          <w:sz w:val="24"/>
          <w:szCs w:val="24"/>
        </w:rPr>
        <w:t xml:space="preserve"> 202</w:t>
      </w:r>
      <w:r w:rsidR="00F5175C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4BB35ED6" w14:textId="77777777" w:rsidR="00670529" w:rsidRDefault="00670529" w:rsidP="00670529">
      <w:pPr>
        <w:ind w:left="5672"/>
        <w:rPr>
          <w:color w:val="000000"/>
          <w:szCs w:val="22"/>
          <w:shd w:val="clear" w:color="auto" w:fill="FFFFFF"/>
        </w:rPr>
      </w:pPr>
    </w:p>
    <w:p w14:paraId="3B4A0D16" w14:textId="77777777" w:rsidR="00E34BD5" w:rsidRDefault="00BB57B3" w:rsidP="00670529">
      <w:pPr>
        <w:ind w:left="5672"/>
        <w:rPr>
          <w:color w:val="000000"/>
          <w:szCs w:val="22"/>
          <w:shd w:val="clear" w:color="auto" w:fill="FFFFFF"/>
        </w:rPr>
      </w:pPr>
      <w:r w:rsidRPr="00BB57B3">
        <w:rPr>
          <w:color w:val="000000"/>
          <w:szCs w:val="22"/>
          <w:shd w:val="clear" w:color="auto" w:fill="FFFFFF"/>
        </w:rPr>
        <w:t>PREDSJEDNICA UPRAVNOG VIJEĆA</w:t>
      </w:r>
    </w:p>
    <w:p w14:paraId="22E4DA90" w14:textId="77777777" w:rsidR="00BB57B3" w:rsidRDefault="00BB57B3" w:rsidP="00E34BD5">
      <w:pPr>
        <w:rPr>
          <w:color w:val="000000"/>
          <w:szCs w:val="22"/>
          <w:shd w:val="clear" w:color="auto" w:fill="FFFFFF"/>
        </w:rPr>
      </w:pPr>
    </w:p>
    <w:p w14:paraId="40A18A6C" w14:textId="77777777" w:rsidR="00BB57B3" w:rsidRPr="00BB57B3" w:rsidRDefault="00670529" w:rsidP="00E34BD5"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  <w:t xml:space="preserve">       </w:t>
      </w:r>
      <w:r w:rsidR="00BB57B3" w:rsidRPr="00BB57B3">
        <w:t>dr. sc. Kristina Čelić</w:t>
      </w:r>
    </w:p>
    <w:sectPr w:rsidR="00BB57B3" w:rsidRPr="00BB57B3" w:rsidSect="00A9561C">
      <w:headerReference w:type="default" r:id="rId8"/>
      <w:footerReference w:type="default" r:id="rId9"/>
      <w:type w:val="continuous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E8C7" w14:textId="77777777" w:rsidR="007126AB" w:rsidRDefault="007126AB" w:rsidP="00F352E6">
      <w:r>
        <w:separator/>
      </w:r>
    </w:p>
  </w:endnote>
  <w:endnote w:type="continuationSeparator" w:id="0">
    <w:p w14:paraId="4BF8B336" w14:textId="77777777" w:rsidR="007126AB" w:rsidRDefault="007126AB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76F6" w14:textId="77777777" w:rsidR="0034706C" w:rsidRPr="00D769ED" w:rsidRDefault="0034706C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8D54" w14:textId="77777777" w:rsidR="007126AB" w:rsidRDefault="007126AB" w:rsidP="00F352E6">
      <w:r>
        <w:separator/>
      </w:r>
    </w:p>
  </w:footnote>
  <w:footnote w:type="continuationSeparator" w:id="0">
    <w:p w14:paraId="11A268AE" w14:textId="77777777" w:rsidR="007126AB" w:rsidRDefault="007126AB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4E1B" w14:textId="77777777" w:rsidR="0034706C" w:rsidRDefault="0034706C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D50"/>
    <w:multiLevelType w:val="hybridMultilevel"/>
    <w:tmpl w:val="3DEC089E"/>
    <w:lvl w:ilvl="0" w:tplc="AD60B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23E9"/>
    <w:multiLevelType w:val="hybridMultilevel"/>
    <w:tmpl w:val="4A669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350E"/>
    <w:multiLevelType w:val="hybridMultilevel"/>
    <w:tmpl w:val="B47A1B4A"/>
    <w:lvl w:ilvl="0" w:tplc="2E802F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82A12"/>
    <w:multiLevelType w:val="hybridMultilevel"/>
    <w:tmpl w:val="8AAEAFC4"/>
    <w:lvl w:ilvl="0" w:tplc="E68AC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05801">
    <w:abstractNumId w:val="2"/>
  </w:num>
  <w:num w:numId="2" w16cid:durableId="896089711">
    <w:abstractNumId w:val="3"/>
  </w:num>
  <w:num w:numId="3" w16cid:durableId="1438259193">
    <w:abstractNumId w:val="0"/>
  </w:num>
  <w:num w:numId="4" w16cid:durableId="398946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1DF2"/>
    <w:rsid w:val="00013A1A"/>
    <w:rsid w:val="0002533C"/>
    <w:rsid w:val="000352D6"/>
    <w:rsid w:val="0005348E"/>
    <w:rsid w:val="0007355D"/>
    <w:rsid w:val="00076297"/>
    <w:rsid w:val="00085D70"/>
    <w:rsid w:val="000C0A6C"/>
    <w:rsid w:val="000C2EAF"/>
    <w:rsid w:val="000C518B"/>
    <w:rsid w:val="0010779D"/>
    <w:rsid w:val="001177E7"/>
    <w:rsid w:val="0013155A"/>
    <w:rsid w:val="0017490A"/>
    <w:rsid w:val="001755E4"/>
    <w:rsid w:val="001763F1"/>
    <w:rsid w:val="001967BA"/>
    <w:rsid w:val="001C5AC1"/>
    <w:rsid w:val="001E5246"/>
    <w:rsid w:val="001F161D"/>
    <w:rsid w:val="00223AA2"/>
    <w:rsid w:val="00223EBA"/>
    <w:rsid w:val="00246B96"/>
    <w:rsid w:val="0026603B"/>
    <w:rsid w:val="0027042C"/>
    <w:rsid w:val="00286B50"/>
    <w:rsid w:val="002A3821"/>
    <w:rsid w:val="002C0AF9"/>
    <w:rsid w:val="002C2EC5"/>
    <w:rsid w:val="002C2F7F"/>
    <w:rsid w:val="00311AA1"/>
    <w:rsid w:val="00313FB4"/>
    <w:rsid w:val="00327F3C"/>
    <w:rsid w:val="00346059"/>
    <w:rsid w:val="0034706C"/>
    <w:rsid w:val="003505E7"/>
    <w:rsid w:val="00382225"/>
    <w:rsid w:val="00386953"/>
    <w:rsid w:val="003A1190"/>
    <w:rsid w:val="004104D0"/>
    <w:rsid w:val="00441546"/>
    <w:rsid w:val="00463609"/>
    <w:rsid w:val="00480C76"/>
    <w:rsid w:val="004C01B5"/>
    <w:rsid w:val="004D4404"/>
    <w:rsid w:val="004E5282"/>
    <w:rsid w:val="004F4368"/>
    <w:rsid w:val="00503CE5"/>
    <w:rsid w:val="0052289C"/>
    <w:rsid w:val="00524A66"/>
    <w:rsid w:val="00526A7C"/>
    <w:rsid w:val="005309D6"/>
    <w:rsid w:val="0055453F"/>
    <w:rsid w:val="00584766"/>
    <w:rsid w:val="0059168A"/>
    <w:rsid w:val="00594F3E"/>
    <w:rsid w:val="00595B73"/>
    <w:rsid w:val="005A70C0"/>
    <w:rsid w:val="005B6ED7"/>
    <w:rsid w:val="005C0E84"/>
    <w:rsid w:val="005E2D85"/>
    <w:rsid w:val="0060366C"/>
    <w:rsid w:val="00633683"/>
    <w:rsid w:val="0063495B"/>
    <w:rsid w:val="00670529"/>
    <w:rsid w:val="00674346"/>
    <w:rsid w:val="006A41FB"/>
    <w:rsid w:val="006B3283"/>
    <w:rsid w:val="006C4E1E"/>
    <w:rsid w:val="007126AB"/>
    <w:rsid w:val="0076348F"/>
    <w:rsid w:val="007665AA"/>
    <w:rsid w:val="00775675"/>
    <w:rsid w:val="00777A0C"/>
    <w:rsid w:val="007869E6"/>
    <w:rsid w:val="007A1BAA"/>
    <w:rsid w:val="007A7E45"/>
    <w:rsid w:val="007C301F"/>
    <w:rsid w:val="007C6086"/>
    <w:rsid w:val="007D1C46"/>
    <w:rsid w:val="007D395B"/>
    <w:rsid w:val="007D4430"/>
    <w:rsid w:val="007E0FCE"/>
    <w:rsid w:val="007E2D0A"/>
    <w:rsid w:val="007E5259"/>
    <w:rsid w:val="0080339E"/>
    <w:rsid w:val="00810C3F"/>
    <w:rsid w:val="00847495"/>
    <w:rsid w:val="008636E2"/>
    <w:rsid w:val="00895BCD"/>
    <w:rsid w:val="008A7E2A"/>
    <w:rsid w:val="008E7CB1"/>
    <w:rsid w:val="008F3722"/>
    <w:rsid w:val="009359F2"/>
    <w:rsid w:val="0094382E"/>
    <w:rsid w:val="00951B1A"/>
    <w:rsid w:val="009637EE"/>
    <w:rsid w:val="009D029F"/>
    <w:rsid w:val="009E2220"/>
    <w:rsid w:val="009E33D3"/>
    <w:rsid w:val="00A021A2"/>
    <w:rsid w:val="00A05667"/>
    <w:rsid w:val="00A320E5"/>
    <w:rsid w:val="00A35E10"/>
    <w:rsid w:val="00A3790E"/>
    <w:rsid w:val="00A42638"/>
    <w:rsid w:val="00A47697"/>
    <w:rsid w:val="00A70582"/>
    <w:rsid w:val="00A84AB1"/>
    <w:rsid w:val="00A9561C"/>
    <w:rsid w:val="00AB5FEA"/>
    <w:rsid w:val="00AB7B4E"/>
    <w:rsid w:val="00AD3C04"/>
    <w:rsid w:val="00AE3078"/>
    <w:rsid w:val="00B15946"/>
    <w:rsid w:val="00B16C07"/>
    <w:rsid w:val="00B2737F"/>
    <w:rsid w:val="00B3076E"/>
    <w:rsid w:val="00B31E2E"/>
    <w:rsid w:val="00B41BF8"/>
    <w:rsid w:val="00B51116"/>
    <w:rsid w:val="00B71154"/>
    <w:rsid w:val="00B7210A"/>
    <w:rsid w:val="00BA487B"/>
    <w:rsid w:val="00BA7BD1"/>
    <w:rsid w:val="00BB57B3"/>
    <w:rsid w:val="00BB642B"/>
    <w:rsid w:val="00BC25D9"/>
    <w:rsid w:val="00BD38F0"/>
    <w:rsid w:val="00BF02E9"/>
    <w:rsid w:val="00BF3F24"/>
    <w:rsid w:val="00BF5AE9"/>
    <w:rsid w:val="00C441B8"/>
    <w:rsid w:val="00C633C9"/>
    <w:rsid w:val="00C6573C"/>
    <w:rsid w:val="00C7470A"/>
    <w:rsid w:val="00CF0ADC"/>
    <w:rsid w:val="00CF4D93"/>
    <w:rsid w:val="00DC61CE"/>
    <w:rsid w:val="00DD1B69"/>
    <w:rsid w:val="00DE2416"/>
    <w:rsid w:val="00E00EA3"/>
    <w:rsid w:val="00E1478B"/>
    <w:rsid w:val="00E34BD5"/>
    <w:rsid w:val="00E42E87"/>
    <w:rsid w:val="00E62EF0"/>
    <w:rsid w:val="00E83873"/>
    <w:rsid w:val="00E86A6A"/>
    <w:rsid w:val="00EC11EE"/>
    <w:rsid w:val="00ED0E3A"/>
    <w:rsid w:val="00EF14BB"/>
    <w:rsid w:val="00F352E6"/>
    <w:rsid w:val="00F5175C"/>
    <w:rsid w:val="00F603AD"/>
    <w:rsid w:val="00F67315"/>
    <w:rsid w:val="00F73BA2"/>
    <w:rsid w:val="00F91724"/>
    <w:rsid w:val="00F92AEE"/>
    <w:rsid w:val="00FC241B"/>
    <w:rsid w:val="00FD68B1"/>
    <w:rsid w:val="00FE4B89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6A798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C5"/>
    <w:rPr>
      <w:rFonts w:ascii="Segoe UI" w:eastAsia="Times New Roman" w:hAnsi="Segoe UI" w:cs="Segoe UI"/>
      <w:sz w:val="18"/>
      <w:szCs w:val="18"/>
      <w:lang w:val="sl-SI"/>
    </w:rPr>
  </w:style>
  <w:style w:type="paragraph" w:styleId="ListParagraph">
    <w:name w:val="List Paragraph"/>
    <w:basedOn w:val="Normal"/>
    <w:uiPriority w:val="34"/>
    <w:qFormat/>
    <w:rsid w:val="00A4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C03A-73A0-4BF1-903A-0D051DE2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Jasna Kalaminec</cp:lastModifiedBy>
  <cp:revision>17</cp:revision>
  <cp:lastPrinted>2025-02-28T09:31:00Z</cp:lastPrinted>
  <dcterms:created xsi:type="dcterms:W3CDTF">2025-02-26T15:40:00Z</dcterms:created>
  <dcterms:modified xsi:type="dcterms:W3CDTF">2025-03-26T08:50:00Z</dcterms:modified>
</cp:coreProperties>
</file>