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8e8a52352847d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38500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HRVATSKA AKREDITACIJSKA AGENCIJA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2.120.010,32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1.629.262,01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1.581.890,17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1.654.230,29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24.968,28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478.430,10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7.378,00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478.430,10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7.378,00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32.346,28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razdoblju od 1. siječnja do 31. prosinca 2025. godine prihodi poslovanja ostvareni su u iznosu od 1.629.262,01 EUR što iznosi 76,9% ukupnih ostvarenih prihoda u prethodnom razdoblju. Smanjenje u odnosu na prethodno razdoblje je u tome što su prihodi poslovanja u razdoblju od 1. siječnja do 31. prosinca 2025. godine ostvareni isključivo od prihoda iz nadležnog proračuna za financiranje rashoda poslovanja dok su u prethodnom razdoblju ostvareni prihodi od tekućih i kapitalnih pomoći od institucija i tijela EU za dovršetak projekta Razvoj IT infrastrukture HAA.  </w:t>
      </w:r>
    </w:p>
    <w:p>
      <w:r>
        <w:t xml:space="preserve">Rashodi poslovanja u razdoblju od 1. siječnja do 31. prosinca 2025. godine ostvareni su u iznosu od 1.654.230,29 EUR. Najznačajnije povećanje rashoda evidentirano je na rashodima za zaposlene (930.196,05 EUR) zbog povećanja plaća te u okviru materijalnih rashoda, rashodi za usluge kod intelektualnih i osobnih usluga (495.590,69 EUR) zbog povećanog broja izvršenih ugovora s vanjskim ocjeniteljima (autorski ugovori). Ostale značajne stavke u okviru rashoda su rashodi za usluge:zakupnine i najamnine (13.373,98 EUR) za usluge arhiviranja, najma automobila i kratkoročne licence; računalne usluge (70.924,89 EUR) za održavanje knjigovodstvenog programa te za preknjiženje razlike nerefundiranih sredstava po projektu Razvoj IT sustava i akreditacijske sheme u iznosu od 55.224,60 EUR: naknade troškova osobama izvan radnog odnosa (38.172,03 EUR) za stručne ocjenitelje koji nisu zaposlenici HAA; naknade za rad predstvničkih tijela (13.223,00 EUR); članarine i norme (19.728,61 EUR) za domaće i međunarodne članarine (18.660,00 EUR).</w:t>
      </w:r>
    </w:p>
    <w:p>
      <w:r>
        <w:t xml:space="preserve">U navedenom razdoblju nema ostvarenih prihoda od prodaje nefinancijske imovine, dok su rashodi za nabavu nefinancijske imovine ostvareni u iznosu od 7.378,00 EUR za nabavu novih računala i uredskog namještaja.  U navedenom razdoblju nije bilo ostvarenih primitaka i izdataka od financijske imovine i zaduživanja.  U razdoblju od 1. siječnja do 31. prosinca 2025. godine ostvaren je manjak prihoda poslovanja od 24.968,28 EUR, manjak prihoda od nefinancijske imovine u iznosu od 7.378,00 EUR te je na kraju izvještajnog razdoblja ostvaren ukupan manjak prihoda i primitaka u iznosu od 32.346,28 EUR.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987.737,37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625.002,85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63,3</w:t>
            </w:r>
          </w:p>
        </w:tc>
      </w:tr>
    </w:tbl>
    <w:p>
      <w:pPr>
        <w:spacing w:before="0" w:after="0"/>
      </w:pPr>
    </w:p>
    <w:p>
      <w:r>
        <w:t xml:space="preserve">U razdoblju od 1. siječnja do 31. prosinca 2025. godine ukupna imovina iznosi 625.002,85 EUR i sastoji se od nefinancijske imovine (443.367,67 EUR) i financijske imovine (181.635,18 EUR) - potraživanja za prihode državne uprave za fakturirane akreditacijske postupke, potraživanja za prihode od pruženih usluga i ostala potraživanja. U odnosu na prethodno razdoblje došlo je do smanjenja u vrijednosti imovine za 36,7% od čega je smanjenje na nefinancijskoj imovini 20,80% u odnosu na prethodno razdoblje jer je u prethodnom razdoblju bilo veliko ulaganje u računalne programe dok je financijska imovina smanjena za 57,60% u odnosu na prethodno razdoblje zbog potraživanja za pomoći od međunarodnih organizacija i institucija i tijela EU (196.694,79 EUR).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I VLASTITI IZVORI (šifre 2+9)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987.737,37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625.002,85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63,3</w:t>
            </w:r>
          </w:p>
        </w:tc>
      </w:tr>
    </w:tbl>
    <w:p>
      <w:pPr>
        <w:spacing w:before="0" w:after="0"/>
      </w:pPr>
    </w:p>
    <w:p>
      <w:r>
        <w:t xml:space="preserve">U razdoblju od 1. siječnja do 31. prosinca 2025. godine ukupne obaveze i vlastiti izvori iznose (625.002,85 EUR) i sastoje se od obaveza (123.492,76 EUR) i vlastitih izvora (501.510,09 EUR). Ukupna razina obaveza i vlastitih izvora smanjena je za 36,7% u odnosu na prethodno razdoblje kao posljedica smanjenja vlastitih izvora za 41,10% zbog promjena u vrijednosti imovine – 123.515,35 EUR i 196.694,79 EUR kapitalne pomoći od institucija i tijela EU.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Ekonomski poslovi (šifre 041+042+043+044+045+046+047+048+049)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2.060.320,27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1.661.608,29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80,6</w:t>
            </w:r>
          </w:p>
        </w:tc>
      </w:tr>
    </w:tbl>
    <w:p>
      <w:pPr>
        <w:spacing w:before="0" w:after="0"/>
      </w:pPr>
    </w:p>
    <w:p>
      <w:r>
        <w:t xml:space="preserve">Rashodi prema funkcijskoj klasifikaciji odnose se na funkcijsku klasifikaciju 0411 Opći ekonomski i trgovački poslovi koji se provode kroz proračunkse aktivnosti A652002 Administracija i upravljanje Hrvatske akreditacijske agencije i K652006 Informatizacija.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123.517,35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123.517,35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U razdoblju od 1. siječnja do 31. prosinca 2025. godine došlo je do smanjenja u vrijednosti imovine temeljem provedenog ispravka vrijednosti proizvedne dugotrajne imovine u iznosu od 123.515,35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imovine (šifre P016+P023)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Promjene u obujmu imovine vezane su za proizvedenu dugotrajnu imovinu i odnose se na pronađeni višak inventara inventurnim popisom na dan 31.12.2025. godine.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kraju izvještajnog razdoblja 31. prosinca 2025. godine iznosi 123.492,76 eura i nije bilo dospjelih obveza već su sve obveze nedospjele.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8330f267c343f2" /></Relationships>
</file>